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26CA" w14:textId="77777777" w:rsidR="00D672D5" w:rsidRPr="00425267" w:rsidRDefault="00D21F7C">
      <w:pPr>
        <w:jc w:val="center"/>
        <w:rPr>
          <w:b/>
          <w:u w:val="single"/>
        </w:rPr>
      </w:pPr>
      <w:r w:rsidRPr="00425267">
        <w:rPr>
          <w:b/>
          <w:u w:val="single"/>
        </w:rPr>
        <w:t>Fiche d’aide au choix du site d’enfouissement de cadavres d’animaux</w:t>
      </w:r>
    </w:p>
    <w:p w14:paraId="4AEA0799" w14:textId="64CC9FD1" w:rsidR="00D672D5" w:rsidRPr="00425267" w:rsidRDefault="00425267">
      <w:pPr>
        <w:jc w:val="center"/>
        <w:rPr>
          <w:bCs/>
        </w:rPr>
      </w:pPr>
      <w:proofErr w:type="gramStart"/>
      <w:r>
        <w:rPr>
          <w:bCs/>
        </w:rPr>
        <w:t>à</w:t>
      </w:r>
      <w:proofErr w:type="gramEnd"/>
      <w:r w:rsidR="00D21F7C" w:rsidRPr="00425267">
        <w:rPr>
          <w:bCs/>
        </w:rPr>
        <w:t xml:space="preserve"> destination des exploitants agricoles</w:t>
      </w:r>
    </w:p>
    <w:p w14:paraId="0F3247EF" w14:textId="77777777" w:rsidR="00D672D5" w:rsidRDefault="00D672D5"/>
    <w:p w14:paraId="16FE5D04" w14:textId="77777777" w:rsidR="00D672D5" w:rsidRDefault="00D21F7C">
      <w:pPr>
        <w:jc w:val="both"/>
      </w:pPr>
      <w:r>
        <w:t xml:space="preserve">Le choix du site d’enfouissement nécessite l’intervention d’un hydrogéologue agréé. Sa mission est d’évaluer l’aptitude du terrain à l’implantation d’une fosse d’enfouissement. L’hydrogéologue agréé sera accompagné d’un agent des services de l’État et éventuellement d’un conseiller de la Chambre d’Agriculture. A noter qu’un tel chantier d’enfouissement ne pourra pas être réalisé en cas de fortes pluies. </w:t>
      </w:r>
    </w:p>
    <w:p w14:paraId="374316FB" w14:textId="77777777" w:rsidR="00D672D5" w:rsidRDefault="00D21F7C">
      <w:pPr>
        <w:jc w:val="both"/>
        <w:rPr>
          <w:b/>
        </w:rPr>
      </w:pPr>
      <w:r>
        <w:rPr>
          <w:b/>
        </w:rPr>
        <w:t xml:space="preserve">Au préalable il convient de rappeler que : </w:t>
      </w:r>
    </w:p>
    <w:p w14:paraId="23D55B53" w14:textId="77777777" w:rsidR="00D672D5" w:rsidRDefault="00D21F7C">
      <w:pPr>
        <w:pStyle w:val="Paragraphedeliste"/>
        <w:numPr>
          <w:ilvl w:val="0"/>
          <w:numId w:val="4"/>
        </w:numPr>
        <w:spacing w:after="0"/>
        <w:jc w:val="both"/>
      </w:pPr>
      <w:r>
        <w:t>La zone d’enfouissement devra être protégée pendant plusieurs mois de tout accès des personnes (6 mois) et des animaux (9 mois) : sur cette durée il n’y aura pas d’implantation de cultures, de parcours de volailles, etc.</w:t>
      </w:r>
    </w:p>
    <w:p w14:paraId="4B1D4536" w14:textId="77777777" w:rsidR="00D672D5" w:rsidRDefault="00D21F7C">
      <w:pPr>
        <w:pStyle w:val="Paragraphedeliste"/>
        <w:numPr>
          <w:ilvl w:val="0"/>
          <w:numId w:val="4"/>
        </w:numPr>
        <w:jc w:val="both"/>
      </w:pPr>
      <w:r>
        <w:t>En cas de fermage, l’autorisation du propriétaire des terres est nécessaire.</w:t>
      </w:r>
    </w:p>
    <w:p w14:paraId="3CF4FC16" w14:textId="77777777" w:rsidR="00D672D5" w:rsidRDefault="00D672D5">
      <w:pPr>
        <w:spacing w:after="0"/>
        <w:jc w:val="both"/>
      </w:pPr>
    </w:p>
    <w:p w14:paraId="1D77BF2C" w14:textId="2D998F49" w:rsidR="00D672D5" w:rsidRDefault="00D21F7C">
      <w:pPr>
        <w:jc w:val="both"/>
        <w:rPr>
          <w:b/>
          <w:u w:val="single"/>
        </w:rPr>
      </w:pPr>
      <w:r>
        <w:rPr>
          <w:b/>
          <w:u w:val="single"/>
        </w:rPr>
        <w:t>1/ Choix du lieu d’enfouissement </w:t>
      </w:r>
    </w:p>
    <w:p w14:paraId="1AC6A150" w14:textId="77777777" w:rsidR="006F044A" w:rsidRPr="006F044A" w:rsidRDefault="006F044A" w:rsidP="006F044A">
      <w:pPr>
        <w:pStyle w:val="Paragraphedeliste"/>
        <w:ind w:left="360"/>
        <w:jc w:val="both"/>
      </w:pPr>
    </w:p>
    <w:p w14:paraId="4610E0DA" w14:textId="177D2085" w:rsidR="00D672D5" w:rsidRDefault="00D21F7C">
      <w:pPr>
        <w:pStyle w:val="Paragraphedeliste"/>
        <w:numPr>
          <w:ilvl w:val="0"/>
          <w:numId w:val="1"/>
        </w:numPr>
        <w:jc w:val="both"/>
      </w:pPr>
      <w:r>
        <w:t xml:space="preserve">L’exploitant présélectionne un à trois lieux d’enfouissement situés sur ses parcelles. L’exploitant classe ses trois propositions par ordre de préférence et les transmet à sa DDPP. </w:t>
      </w:r>
    </w:p>
    <w:p w14:paraId="108EF047" w14:textId="77777777" w:rsidR="00D672D5" w:rsidRDefault="00D21F7C">
      <w:pPr>
        <w:jc w:val="both"/>
        <w:rPr>
          <w:u w:val="single"/>
        </w:rPr>
      </w:pPr>
      <w:r>
        <w:rPr>
          <w:u w:val="single"/>
        </w:rPr>
        <w:t xml:space="preserve">L’exploitant doit prendre en compte les critères ci-après : </w:t>
      </w:r>
    </w:p>
    <w:p w14:paraId="56A4888B" w14:textId="77777777" w:rsidR="00D672D5" w:rsidRDefault="00D21F7C">
      <w:pPr>
        <w:pStyle w:val="Paragraphedeliste"/>
        <w:numPr>
          <w:ilvl w:val="0"/>
          <w:numId w:val="4"/>
        </w:numPr>
        <w:spacing w:after="0"/>
        <w:jc w:val="both"/>
      </w:pPr>
      <w:r>
        <w:t>Le terrain ne doit pas être concerné par un projet de construction car aucune excavation ne pourra être réalisée sur le site pendant plusieurs années (au moins 5 ans) ;</w:t>
      </w:r>
    </w:p>
    <w:p w14:paraId="0117118B" w14:textId="77777777" w:rsidR="00D672D5" w:rsidRDefault="00D21F7C">
      <w:pPr>
        <w:pStyle w:val="Paragraphedeliste"/>
        <w:numPr>
          <w:ilvl w:val="0"/>
          <w:numId w:val="4"/>
        </w:numPr>
        <w:jc w:val="both"/>
      </w:pPr>
      <w:r>
        <w:t>Le terrain doit être facilement accessible, être horizontal ou avoir une pente &lt;5% ;</w:t>
      </w:r>
    </w:p>
    <w:p w14:paraId="6D08BB30" w14:textId="77777777" w:rsidR="00D672D5" w:rsidRDefault="00D21F7C">
      <w:pPr>
        <w:pStyle w:val="Paragraphedeliste"/>
        <w:numPr>
          <w:ilvl w:val="0"/>
          <w:numId w:val="4"/>
        </w:numPr>
        <w:jc w:val="both"/>
      </w:pPr>
      <w:r>
        <w:t>Le terrain doit faire au minimum 25m</w:t>
      </w:r>
      <w:r w:rsidRPr="00224EA8">
        <w:rPr>
          <w:vertAlign w:val="superscript"/>
        </w:rPr>
        <w:t>2</w:t>
      </w:r>
      <w:r>
        <w:t> ;</w:t>
      </w:r>
    </w:p>
    <w:p w14:paraId="03021B66" w14:textId="77777777" w:rsidR="00D672D5" w:rsidRDefault="00D21F7C">
      <w:pPr>
        <w:pStyle w:val="Paragraphedeliste"/>
        <w:numPr>
          <w:ilvl w:val="0"/>
          <w:numId w:val="4"/>
        </w:numPr>
        <w:jc w:val="both"/>
      </w:pPr>
      <w:r>
        <w:t>Le sol doit être facile à creuser sur au moins 2 mètres de profondeur ;</w:t>
      </w:r>
    </w:p>
    <w:p w14:paraId="02E1D9EC" w14:textId="77777777" w:rsidR="00D672D5" w:rsidRDefault="00D21F7C">
      <w:pPr>
        <w:pStyle w:val="Paragraphedeliste"/>
        <w:numPr>
          <w:ilvl w:val="0"/>
          <w:numId w:val="4"/>
        </w:numPr>
        <w:jc w:val="both"/>
      </w:pPr>
      <w:r>
        <w:t>Les zones humides, les zones de dépression (cuvette) doivent être exclues ;</w:t>
      </w:r>
    </w:p>
    <w:p w14:paraId="2D71D940" w14:textId="77777777" w:rsidR="00D672D5" w:rsidRDefault="00D21F7C">
      <w:pPr>
        <w:pStyle w:val="Paragraphedeliste"/>
        <w:numPr>
          <w:ilvl w:val="0"/>
          <w:numId w:val="4"/>
        </w:numPr>
        <w:jc w:val="both"/>
      </w:pPr>
      <w:r>
        <w:t>Dans le cas de la gestion d’une épizootie, le lieu d’enfouissement doit se situer au plus près de l’exploitation, afin de limiter au maximum le risque de dissémination du pathogène ;</w:t>
      </w:r>
    </w:p>
    <w:p w14:paraId="03A844AA" w14:textId="77777777" w:rsidR="00D672D5" w:rsidRDefault="00D672D5">
      <w:pPr>
        <w:ind w:left="360"/>
        <w:jc w:val="both"/>
      </w:pPr>
    </w:p>
    <w:p w14:paraId="695EE67A" w14:textId="768AEF4D" w:rsidR="00D672D5" w:rsidRDefault="00D21F7C">
      <w:pPr>
        <w:pStyle w:val="Paragraphedeliste"/>
        <w:numPr>
          <w:ilvl w:val="0"/>
          <w:numId w:val="1"/>
        </w:numPr>
        <w:jc w:val="both"/>
      </w:pPr>
      <w:r>
        <w:t>Si des zones favorables ou potentiellement favorables sont identifiées dans les parcelles exploitées par l’éleveur, la DDPP engagera l’intervention d</w:t>
      </w:r>
      <w:r w:rsidR="00425267">
        <w:t xml:space="preserve">’un </w:t>
      </w:r>
      <w:r>
        <w:t xml:space="preserve">hydrogéologue pour la réalisation de sondages. L’exploitant doit indiquer à sa DDPP s’il dispose d’une tractopelle et d’un conducteur pour la réalisation des sondages. </w:t>
      </w:r>
    </w:p>
    <w:p w14:paraId="7CA1A554" w14:textId="00156A58" w:rsidR="00D672D5" w:rsidRDefault="00D21F7C">
      <w:pPr>
        <w:spacing w:after="0"/>
        <w:jc w:val="both"/>
        <w:rPr>
          <w:u w:val="single"/>
        </w:rPr>
      </w:pPr>
      <w:r>
        <w:rPr>
          <w:u w:val="single"/>
        </w:rPr>
        <w:t xml:space="preserve">L’hydrogéologue </w:t>
      </w:r>
      <w:r w:rsidR="009B0116" w:rsidRPr="00425267">
        <w:rPr>
          <w:u w:val="single"/>
        </w:rPr>
        <w:t>désigné</w:t>
      </w:r>
      <w:r>
        <w:rPr>
          <w:u w:val="single"/>
        </w:rPr>
        <w:t xml:space="preserve"> analyse : </w:t>
      </w:r>
    </w:p>
    <w:p w14:paraId="6050700A" w14:textId="77777777" w:rsidR="00D672D5" w:rsidRDefault="00D21F7C">
      <w:pPr>
        <w:pStyle w:val="Paragraphedeliste"/>
        <w:numPr>
          <w:ilvl w:val="0"/>
          <w:numId w:val="3"/>
        </w:numPr>
        <w:spacing w:after="0"/>
        <w:jc w:val="both"/>
      </w:pPr>
      <w:r>
        <w:t xml:space="preserve">La nature géologique du sous-sol (roche, sables, argiles, limons…) ;  </w:t>
      </w:r>
    </w:p>
    <w:p w14:paraId="08E71876" w14:textId="77777777" w:rsidR="00D672D5" w:rsidRDefault="00D21F7C">
      <w:pPr>
        <w:pStyle w:val="Paragraphedeliste"/>
        <w:numPr>
          <w:ilvl w:val="0"/>
          <w:numId w:val="3"/>
        </w:numPr>
        <w:jc w:val="both"/>
      </w:pPr>
      <w:r>
        <w:t>Son degré de fracturation (drainage naturel de la nappe en profondeur) ;</w:t>
      </w:r>
    </w:p>
    <w:p w14:paraId="24A21EC4" w14:textId="77777777" w:rsidR="00D672D5" w:rsidRDefault="00D21F7C">
      <w:pPr>
        <w:pStyle w:val="Paragraphedeliste"/>
        <w:numPr>
          <w:ilvl w:val="0"/>
          <w:numId w:val="3"/>
        </w:numPr>
        <w:jc w:val="both"/>
      </w:pPr>
      <w:r>
        <w:t>Les éventuelles venues d’eau et/ou traces d’hydromorphie permettant de localiser le toit de la nappe (le fond de la fosse doit impérativement être au-dessus du niveau de la nappe phréatique) ;</w:t>
      </w:r>
    </w:p>
    <w:p w14:paraId="7A830C02" w14:textId="77777777" w:rsidR="00D672D5" w:rsidRDefault="00D21F7C">
      <w:pPr>
        <w:pStyle w:val="Paragraphedeliste"/>
        <w:numPr>
          <w:ilvl w:val="0"/>
          <w:numId w:val="3"/>
        </w:numPr>
        <w:jc w:val="both"/>
      </w:pPr>
      <w:r>
        <w:t>La facilité de creusement et le caractère boulant du terrain.</w:t>
      </w:r>
    </w:p>
    <w:p w14:paraId="10709B85" w14:textId="77777777" w:rsidR="00D672D5" w:rsidRDefault="00D672D5">
      <w:pPr>
        <w:pStyle w:val="Paragraphedeliste"/>
        <w:jc w:val="both"/>
      </w:pPr>
    </w:p>
    <w:p w14:paraId="4B0AFB48" w14:textId="09868F76" w:rsidR="00D672D5" w:rsidRPr="00425267" w:rsidRDefault="00D21F7C">
      <w:pPr>
        <w:pStyle w:val="Paragraphedeliste"/>
        <w:numPr>
          <w:ilvl w:val="0"/>
          <w:numId w:val="1"/>
        </w:numPr>
        <w:jc w:val="both"/>
      </w:pPr>
      <w:r>
        <w:lastRenderedPageBreak/>
        <w:t xml:space="preserve">Sur la base de ces informations, </w:t>
      </w:r>
      <w:r w:rsidRPr="00425267">
        <w:t xml:space="preserve">l’hydrogéologue </w:t>
      </w:r>
      <w:r w:rsidR="009B0116" w:rsidRPr="00425267">
        <w:t>désigné</w:t>
      </w:r>
      <w:r w:rsidRPr="00425267">
        <w:t xml:space="preserve"> émet un avis positif ou négatif et repère au GPS les coordonnées du sondage. Si l’avis est négatif, l’hydrogéologue testera un autre site proposé par l’exploitant. L’hydrogéologue archive des photos du sondage et remplit une grille d’évaluation du site et une fiche synthétique comprenant son avis, favorable ou défavorable, les coordonnées du site, la signe et fait signer l’exploitant et si besoin le représentant de l’État et le conseiller de la Chambre d’Agriculture. Le creusement de la fosse peut ensuite débuter. </w:t>
      </w:r>
    </w:p>
    <w:p w14:paraId="7F56DB4F" w14:textId="667F9E1C" w:rsidR="00D672D5" w:rsidRDefault="00D21F7C">
      <w:pPr>
        <w:jc w:val="both"/>
      </w:pPr>
      <w:r w:rsidRPr="00425267">
        <w:t xml:space="preserve">Sauf changement d’environnement (construction, forage, etc.), l’avis de l’hydrogéologue </w:t>
      </w:r>
      <w:r w:rsidR="009B0116" w:rsidRPr="00425267">
        <w:t>désigné</w:t>
      </w:r>
      <w:r w:rsidRPr="00425267">
        <w:t xml:space="preserve"> est</w:t>
      </w:r>
      <w:r>
        <w:t xml:space="preserve"> stable dans le temps.</w:t>
      </w:r>
    </w:p>
    <w:p w14:paraId="422863F4" w14:textId="77777777" w:rsidR="00D672D5" w:rsidRDefault="00D672D5">
      <w:pPr>
        <w:spacing w:after="0"/>
        <w:jc w:val="both"/>
      </w:pPr>
    </w:p>
    <w:p w14:paraId="228F6408" w14:textId="77777777" w:rsidR="00D672D5" w:rsidRDefault="00D21F7C">
      <w:pPr>
        <w:jc w:val="both"/>
        <w:rPr>
          <w:b/>
          <w:u w:val="single"/>
        </w:rPr>
      </w:pPr>
      <w:r>
        <w:rPr>
          <w:b/>
          <w:u w:val="single"/>
        </w:rPr>
        <w:t xml:space="preserve">2/ Creusement de la fosse </w:t>
      </w:r>
    </w:p>
    <w:p w14:paraId="71FD38F5" w14:textId="77777777" w:rsidR="00D672D5" w:rsidRDefault="00D21F7C">
      <w:pPr>
        <w:jc w:val="both"/>
      </w:pPr>
      <w:r>
        <w:t>La fosse a la forme d’une tranchée de manière à ce que son remplissage soit aisé : il ne faut pas qu’elle soit trop large car il serait alors difficile de déposer des cadavres au centre. Lors du creusement la terre excavée est déposée d’un seul côté pour laisser l’accès libre aux engins apportant les cadavres sur l’autre côté. La profondeur de la fosse sera d’au moins 2 mètres et devra être validée par l’hydrogéologue agréé (elle pourra être réduite à 1,5 m en cas de difficulté liée par exemple à la présence de la roche). Le volume de la fosse doit être calculé de façon à enfouir 0,75 t/m3.</w:t>
      </w:r>
    </w:p>
    <w:p w14:paraId="1A7EF5BC" w14:textId="77777777" w:rsidR="00D672D5" w:rsidRDefault="00D21F7C">
      <w:pPr>
        <w:spacing w:after="0"/>
        <w:jc w:val="both"/>
        <w:rPr>
          <w:u w:val="single"/>
        </w:rPr>
      </w:pPr>
      <w:r>
        <w:rPr>
          <w:u w:val="single"/>
        </w:rPr>
        <w:t xml:space="preserve">Paramètres de réalisation de la ou des fosses : </w:t>
      </w:r>
    </w:p>
    <w:p w14:paraId="13A5E1F9" w14:textId="77777777" w:rsidR="00D672D5" w:rsidRDefault="00D21F7C">
      <w:pPr>
        <w:pStyle w:val="Paragraphedeliste"/>
        <w:numPr>
          <w:ilvl w:val="0"/>
          <w:numId w:val="2"/>
        </w:numPr>
        <w:spacing w:after="0"/>
        <w:jc w:val="both"/>
      </w:pPr>
      <w:r>
        <w:t xml:space="preserve">Largeur maximum : 1m à 1m50 (largeur de godet) </w:t>
      </w:r>
    </w:p>
    <w:p w14:paraId="5DDADB88" w14:textId="77777777" w:rsidR="00D672D5" w:rsidRDefault="00D21F7C">
      <w:pPr>
        <w:pStyle w:val="Paragraphedeliste"/>
        <w:numPr>
          <w:ilvl w:val="0"/>
          <w:numId w:val="2"/>
        </w:numPr>
        <w:jc w:val="both"/>
      </w:pPr>
      <w:r>
        <w:t xml:space="preserve">Longueur maximum : 15-20m. Privilégier plusieurs fosses parallèles </w:t>
      </w:r>
    </w:p>
    <w:p w14:paraId="3024D496" w14:textId="77777777" w:rsidR="00D672D5" w:rsidRDefault="00D21F7C">
      <w:pPr>
        <w:pStyle w:val="Paragraphedeliste"/>
        <w:numPr>
          <w:ilvl w:val="0"/>
          <w:numId w:val="2"/>
        </w:numPr>
        <w:jc w:val="both"/>
      </w:pPr>
      <w:r>
        <w:t xml:space="preserve">Remplissage : environ 0,7 T/m3 </w:t>
      </w:r>
    </w:p>
    <w:p w14:paraId="0FFC52B7" w14:textId="77777777" w:rsidR="00D672D5" w:rsidRDefault="00D21F7C">
      <w:pPr>
        <w:pStyle w:val="Paragraphedeliste"/>
        <w:numPr>
          <w:ilvl w:val="0"/>
          <w:numId w:val="2"/>
        </w:numPr>
        <w:jc w:val="both"/>
      </w:pPr>
      <w:r>
        <w:t>Minimum 2m d’espacement entre chaque fosse, pour permettre le passage d’engins et limiter le risque d’éboulement.</w:t>
      </w:r>
    </w:p>
    <w:p w14:paraId="5DFDF040" w14:textId="77777777" w:rsidR="00D672D5" w:rsidRDefault="00D672D5">
      <w:pPr>
        <w:spacing w:after="0"/>
        <w:jc w:val="both"/>
      </w:pPr>
    </w:p>
    <w:p w14:paraId="71F6A2CF" w14:textId="77777777" w:rsidR="00D672D5" w:rsidRDefault="00D21F7C">
      <w:pPr>
        <w:jc w:val="both"/>
        <w:rPr>
          <w:b/>
          <w:u w:val="single"/>
        </w:rPr>
      </w:pPr>
      <w:r>
        <w:rPr>
          <w:b/>
          <w:u w:val="single"/>
        </w:rPr>
        <w:t>3/ Remplissage de la fosse</w:t>
      </w:r>
    </w:p>
    <w:p w14:paraId="1DD0DE0E" w14:textId="7C393382" w:rsidR="00D672D5" w:rsidRPr="00AE0DA5" w:rsidRDefault="00D21F7C">
      <w:pPr>
        <w:jc w:val="both"/>
        <w:rPr>
          <w:strike/>
        </w:rPr>
      </w:pPr>
      <w:r>
        <w:t>Le fond de la fosse ainsi que les parois sont recouverts d’une couche de chaux (préalablement livrée sur place) de manière à ce que les cadavres reposent dans un écrin de chaux vive. Les cadavres sont empilés sans dépasser le niveau de 80 cm en dessous de la surface du sol</w:t>
      </w:r>
      <w:r w:rsidR="00425267">
        <w:t>.</w:t>
      </w:r>
      <w:r w:rsidRPr="00AE0DA5">
        <w:rPr>
          <w:strike/>
        </w:rPr>
        <w:t xml:space="preserve"> </w:t>
      </w:r>
    </w:p>
    <w:p w14:paraId="70E3867D" w14:textId="77777777" w:rsidR="00D672D5" w:rsidRDefault="00D21F7C">
      <w:pPr>
        <w:jc w:val="both"/>
      </w:pPr>
      <w:r>
        <w:t xml:space="preserve">Les cadavres doivent être transportés par un engin sur une courte distance du bâtiment vers le lieu d’enfouissement : ils ne doivent pas être poussés/trainés au sol. L’opérateur doit porter des équipements de protection individuelle. Il est rappelé que l’ensemble du matériel dédié à l’enlèvement et à l’enfouissement devra être désinfecté. </w:t>
      </w:r>
    </w:p>
    <w:p w14:paraId="63AB6D95" w14:textId="77777777" w:rsidR="00D672D5" w:rsidRDefault="00D21F7C">
      <w:pPr>
        <w:jc w:val="both"/>
      </w:pPr>
      <w:r>
        <w:t xml:space="preserve">Une fois la fosse refermée, le site d’enfouissement et ses abords (2 mètres autour) sont aspergés de chaux (à raison de 500g/m2) et clôturés. </w:t>
      </w:r>
    </w:p>
    <w:p w14:paraId="4297D6DA" w14:textId="3979EC2D" w:rsidR="00D672D5" w:rsidRPr="006F044A" w:rsidRDefault="00D21F7C">
      <w:pPr>
        <w:jc w:val="both"/>
        <w:rPr>
          <w:strike/>
        </w:rPr>
      </w:pPr>
      <w:r>
        <w:t>Une photo du site sécurisé devra être adressée à sa DDPP. La DDPP est responsable du chantier d’enfouissement, c’est pourquoi dans la mesure du possible un agent sera présent pour veiller aux règles de sécurité</w:t>
      </w:r>
      <w:r w:rsidRPr="00425267">
        <w:t xml:space="preserve">. </w:t>
      </w:r>
      <w:r w:rsidR="009B0116" w:rsidRPr="00425267">
        <w:t>Les frais engagés seront indemnisés par l’Etat.</w:t>
      </w:r>
    </w:p>
    <w:p w14:paraId="4A3C8E6A" w14:textId="77777777" w:rsidR="00D672D5" w:rsidRDefault="00D672D5">
      <w:pPr>
        <w:jc w:val="both"/>
      </w:pPr>
    </w:p>
    <w:p w14:paraId="1030496F" w14:textId="77777777" w:rsidR="00D672D5" w:rsidRDefault="00D672D5"/>
    <w:sectPr w:rsidR="00D672D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7388" w14:textId="77777777" w:rsidR="00D672D5" w:rsidRDefault="00D21F7C">
      <w:pPr>
        <w:spacing w:after="0" w:line="240" w:lineRule="auto"/>
      </w:pPr>
      <w:r>
        <w:separator/>
      </w:r>
    </w:p>
  </w:endnote>
  <w:endnote w:type="continuationSeparator" w:id="0">
    <w:p w14:paraId="208703DC" w14:textId="77777777" w:rsidR="00D672D5" w:rsidRDefault="00D2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E165" w14:textId="77777777" w:rsidR="00D672D5" w:rsidRDefault="00D21F7C">
      <w:pPr>
        <w:spacing w:after="0" w:line="240" w:lineRule="auto"/>
      </w:pPr>
      <w:r>
        <w:separator/>
      </w:r>
    </w:p>
  </w:footnote>
  <w:footnote w:type="continuationSeparator" w:id="0">
    <w:p w14:paraId="6A561735" w14:textId="77777777" w:rsidR="00D672D5" w:rsidRDefault="00D21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E5E3D"/>
    <w:multiLevelType w:val="multilevel"/>
    <w:tmpl w:val="1BE0A29A"/>
    <w:lvl w:ilvl="0">
      <w:start w:val="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181179"/>
    <w:multiLevelType w:val="multilevel"/>
    <w:tmpl w:val="FF58811E"/>
    <w:lvl w:ilvl="0">
      <w:start w:val="3"/>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DD8195B"/>
    <w:multiLevelType w:val="multilevel"/>
    <w:tmpl w:val="CD421A6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1C2C5F"/>
    <w:multiLevelType w:val="multilevel"/>
    <w:tmpl w:val="D2A48AC2"/>
    <w:lvl w:ilvl="0">
      <w:start w:val="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2D43352"/>
    <w:multiLevelType w:val="multilevel"/>
    <w:tmpl w:val="0E7AD4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5C41E8"/>
    <w:multiLevelType w:val="multilevel"/>
    <w:tmpl w:val="218EACE6"/>
    <w:lvl w:ilvl="0">
      <w:start w:val="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D5"/>
    <w:rsid w:val="00224EA8"/>
    <w:rsid w:val="002A282C"/>
    <w:rsid w:val="00425267"/>
    <w:rsid w:val="006F044A"/>
    <w:rsid w:val="009B0116"/>
    <w:rsid w:val="00AE0DA5"/>
    <w:rsid w:val="00BA2764"/>
    <w:rsid w:val="00D21F7C"/>
    <w:rsid w:val="00D6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067C"/>
  <w15:docId w15:val="{4AF70E2C-91FF-43E1-BB74-BB5B766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4408</Characters>
  <Application>Microsoft Office Word</Application>
  <DocSecurity>4</DocSecurity>
  <Lines>36</Lines>
  <Paragraphs>10</Paragraphs>
  <ScaleCrop>false</ScaleCrop>
  <Company>Ministère de l'Agriculture et de l'Alimentation</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LEMARIE</dc:creator>
  <cp:keywords/>
  <dc:description/>
  <cp:lastModifiedBy>Virginie BERNARD</cp:lastModifiedBy>
  <cp:revision>2</cp:revision>
  <dcterms:created xsi:type="dcterms:W3CDTF">2026-07-07T13:10:00Z</dcterms:created>
  <dcterms:modified xsi:type="dcterms:W3CDTF">2026-07-07T13:10:00Z</dcterms:modified>
</cp:coreProperties>
</file>